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60"/>
        <w:jc w:val="center"/>
        <w:rPr/>
      </w:pPr>
      <w:r>
        <w:rPr>
          <w:b/>
          <w:bCs/>
          <w:color w:val="1F3864"/>
          <w:sz w:val="50"/>
          <w:szCs w:val="50"/>
        </w:rPr>
        <w:t>MAROS ZEMAN</w:t>
      </w:r>
    </w:p>
    <w:p>
      <w:pPr>
        <w:pStyle w:val="Normal"/>
        <w:spacing w:before="0" w:after="40"/>
        <w:jc w:val="center"/>
        <w:rPr/>
      </w:pPr>
      <w:r>
        <w:rPr>
          <w:b/>
          <w:bCs/>
          <w:color w:val="1F3864"/>
          <w:sz w:val="22"/>
          <w:szCs w:val="22"/>
        </w:rPr>
        <w:t>Data Engineering &amp; Architecture Leader</w:t>
      </w:r>
    </w:p>
    <w:p>
      <w:pPr>
        <w:pStyle w:val="Normal"/>
        <w:spacing w:before="0" w:after="50"/>
        <w:jc w:val="center"/>
        <w:rPr/>
      </w:pPr>
      <w:r>
        <w:rPr>
          <w:color w:val="595959"/>
          <w:sz w:val="19"/>
          <w:szCs w:val="19"/>
        </w:rPr>
        <w:t>Enterprise Data Transformation · Industrial IT/OT · AI-to-Production</w:t>
      </w:r>
    </w:p>
    <w:p>
      <w:pPr>
        <w:pStyle w:val="Normal"/>
        <w:spacing w:before="0" w:after="20"/>
        <w:jc w:val="center"/>
        <w:rPr/>
      </w:pPr>
      <w:r>
        <w:rPr>
          <w:color w:val="595959"/>
          <w:sz w:val="18"/>
          <w:szCs w:val="18"/>
        </w:rPr>
        <w:t>Czech Republic · Remote-first European engagements · On-site workshops by arrangement</w:t>
      </w:r>
    </w:p>
    <w:p>
      <w:pPr>
        <w:pStyle w:val="Normal"/>
        <w:spacing w:before="0" w:after="60"/>
        <w:jc w:val="center"/>
        <w:rPr/>
      </w:pPr>
      <w:r>
        <w:rPr>
          <w:color w:val="595959"/>
          <w:sz w:val="18"/>
          <w:szCs w:val="18"/>
        </w:rPr>
        <w:t xml:space="preserve">+420 727 939 636 · </w:t>
      </w:r>
      <w:hyperlink r:id="rId2">
        <w:r>
          <w:rPr>
            <w:rStyle w:val="Hyperlink"/>
            <w:sz w:val="18"/>
            <w:szCs w:val="18"/>
          </w:rPr>
          <w:t>zeman.maros@gmail.com</w:t>
        </w:r>
      </w:hyperlink>
      <w:r>
        <w:rPr>
          <w:color w:val="595959"/>
          <w:sz w:val="18"/>
          <w:szCs w:val="18"/>
        </w:rPr>
        <w:t xml:space="preserve"> · </w:t>
      </w:r>
      <w:hyperlink r:id="rId3">
        <w:r>
          <w:rPr>
            <w:rStyle w:val="Hyperlink"/>
            <w:sz w:val="18"/>
            <w:szCs w:val="18"/>
          </w:rPr>
          <w:t>linkedin.com/in/maros-zeman</w:t>
        </w:r>
      </w:hyperlink>
    </w:p>
    <w:p>
      <w:pPr>
        <w:pStyle w:val="Normal"/>
        <w:pBdr>
          <w:bottom w:val="single" w:sz="6" w:space="2" w:color="BFC9D6"/>
        </w:pBdr>
        <w:spacing w:before="120" w:after="80"/>
        <w:rPr/>
      </w:pPr>
      <w:r>
        <w:rPr>
          <w:b/>
          <w:bCs/>
          <w:caps/>
          <w:color w:val="1F3864"/>
          <w:sz w:val="21"/>
          <w:szCs w:val="21"/>
        </w:rPr>
        <w:t>Executive Profile</w:t>
      </w:r>
    </w:p>
    <w:p>
      <w:pPr>
        <w:pStyle w:val="BodyText"/>
        <w:spacing w:lineRule="auto" w:line="252" w:before="0" w:after="80"/>
        <w:jc w:val="start"/>
        <w:rPr>
          <w:color w:val="262626"/>
          <w:sz w:val="20"/>
          <w:szCs w:val="20"/>
        </w:rPr>
      </w:pPr>
      <w:r>
        <w:rPr>
          <w:color w:val="262626"/>
          <w:sz w:val="20"/>
          <w:szCs w:val="20"/>
        </w:rPr>
        <w:tab/>
        <w:t>Data engineering and architecture leader with 15 years of experience building, recovering and scaling production-grade data ecosystems in multinational industrial, energy and utility environments. Functionally and technically led distributed capabilities of more than 30 architects, engineers and developers, integrating over 270 enterprise and operational systems and enabling more than 30 governed data products.</w:t>
      </w:r>
    </w:p>
    <w:p>
      <w:pPr>
        <w:pStyle w:val="BodyText"/>
        <w:spacing w:lineRule="auto" w:line="252" w:before="0" w:after="80"/>
        <w:rPr/>
      </w:pPr>
      <w:r>
        <w:rPr/>
        <w:tab/>
        <w:t>Combines strategic platform ownership with hands-on engineering &amp; architectural depth across cloud data platforms (Databricks, Snowflake, Fabric), scripting languages and transformation tools (Python, SQL, dbt), real-time data streaming, and metadata-driven ingestion &amp; data product delivery. Experienced in establishing engineering standards, translating business requirements into scalable technical solutions, and moving analytics and AI initiatives from proof of concept into secure, governed production. Trusted by executives and technical teams to challenge the status quo, accelerate delivery and build sustainable engineering capability.</w:t>
      </w:r>
    </w:p>
    <w:p>
      <w:pPr>
        <w:pStyle w:val="Normal"/>
        <w:pBdr>
          <w:bottom w:val="single" w:sz="6" w:space="2" w:color="BFC9D6"/>
        </w:pBdr>
        <w:spacing w:before="200" w:after="80"/>
        <w:rPr/>
      </w:pPr>
      <w:r>
        <w:rPr>
          <w:b/>
          <w:bCs/>
          <w:caps/>
          <w:color w:val="1F3864"/>
          <w:sz w:val="21"/>
          <w:szCs w:val="21"/>
        </w:rPr>
        <w:t>Selected Data Leadership impact</w:t>
      </w:r>
    </w:p>
    <w:p>
      <w:pPr>
        <w:pStyle w:val="BodyText"/>
        <w:numPr>
          <w:ilvl w:val="0"/>
          <w:numId w:val="4"/>
        </w:numPr>
        <w:spacing w:lineRule="auto" w:line="252" w:before="0" w:after="50"/>
        <w:rPr>
          <w:color w:val="262626"/>
          <w:sz w:val="20"/>
          <w:szCs w:val="20"/>
        </w:rPr>
      </w:pPr>
      <w:r>
        <w:rPr>
          <w:color w:val="262626"/>
          <w:sz w:val="20"/>
          <w:szCs w:val="20"/>
        </w:rPr>
        <w:t>Built and technically led/mentored a distributed data-platform and engineering capability of more than 30 architects, engineers, developers and platform specialists, including hiring standards, mentoring, engineering development guidelines/standards, onboarding and technical direction, while retaining full hands-on code writing capability to lead teams by example and actively contribute to platform development.</w:t>
      </w:r>
    </w:p>
    <w:p>
      <w:pPr>
        <w:pStyle w:val="BodyText"/>
        <w:numPr>
          <w:ilvl w:val="0"/>
          <w:numId w:val="2"/>
        </w:numPr>
        <w:suppressAutoHyphens w:val="true"/>
        <w:spacing w:lineRule="auto" w:line="252" w:before="0" w:after="0"/>
        <w:rPr/>
      </w:pPr>
      <w:r>
        <w:rPr/>
        <w:t>Established a metadata-driven enterprise data ecosystem integrating more than 270 enterprise and operational systems through batch, CDC and real-time streaming patterns.</w:t>
      </w:r>
    </w:p>
    <w:p>
      <w:pPr>
        <w:pStyle w:val="BodyText"/>
        <w:numPr>
          <w:ilvl w:val="0"/>
          <w:numId w:val="2"/>
        </w:numPr>
        <w:suppressAutoHyphens w:val="true"/>
        <w:spacing w:lineRule="auto" w:line="252" w:before="0" w:after="0"/>
        <w:rPr/>
      </w:pPr>
      <w:r>
        <w:rPr/>
        <w:t>Enabled delivery of more than 30 governed data products supporting analytics , AI/ML, industrial operations and controlled self-service consumption utilizing practical data-mesh principles in a federated multinational environment through domain-aligned data products, shared platform capabilities, common governance standards, metadata-driven ingestion and governed self-service.</w:t>
      </w:r>
    </w:p>
    <w:p>
      <w:pPr>
        <w:pStyle w:val="BodyText"/>
        <w:numPr>
          <w:ilvl w:val="0"/>
          <w:numId w:val="2"/>
        </w:numPr>
        <w:suppressAutoHyphens w:val="true"/>
        <w:spacing w:lineRule="auto" w:line="252" w:before="0" w:after="0"/>
        <w:rPr/>
      </w:pPr>
      <w:r>
        <w:rPr/>
        <w:t>Recovered stalled data/AI/ML initiatives by challenging previous architectural decisions, and moved them into governed production, including computer vision, energy forecasting and industrial telemetry solutions.</w:t>
      </w:r>
    </w:p>
    <w:p>
      <w:pPr>
        <w:pStyle w:val="BodyText"/>
        <w:numPr>
          <w:ilvl w:val="0"/>
          <w:numId w:val="2"/>
        </w:numPr>
        <w:suppressAutoHyphens w:val="true"/>
        <w:spacing w:lineRule="auto" w:line="252" w:before="0" w:after="50"/>
        <w:rPr/>
      </w:pPr>
      <w:r>
        <w:rPr/>
        <w:t xml:space="preserve">Delivered industrial IT/OT and IIoT capabilities supporting business-validated operational value in the tens of millions of euros. </w:t>
      </w:r>
    </w:p>
    <w:p>
      <w:pPr>
        <w:pStyle w:val="Normal"/>
        <w:pBdr>
          <w:bottom w:val="single" w:sz="6" w:space="2" w:color="BFC9D6"/>
        </w:pBdr>
        <w:spacing w:before="200" w:after="80"/>
        <w:rPr/>
      </w:pPr>
      <w:r>
        <w:rPr>
          <w:b/>
          <w:bCs/>
          <w:caps/>
          <w:color w:val="1F3864"/>
          <w:sz w:val="21"/>
          <w:szCs w:val="21"/>
        </w:rPr>
        <w:t>Core Value Proposition</w:t>
      </w:r>
    </w:p>
    <w:p>
      <w:pPr>
        <w:pStyle w:val="ListParagraph"/>
        <w:numPr>
          <w:ilvl w:val="0"/>
          <w:numId w:val="2"/>
        </w:numPr>
        <w:spacing w:lineRule="auto" w:line="252" w:before="0" w:after="50"/>
        <w:rPr/>
      </w:pPr>
      <w:r>
        <w:rPr>
          <w:color w:val="262626"/>
          <w:sz w:val="20"/>
          <w:szCs w:val="20"/>
        </w:rPr>
        <w:t>I bridge executive commercial goals and complex IT/OT architecture - fluently, in both directions.</w:t>
      </w:r>
    </w:p>
    <w:p>
      <w:pPr>
        <w:pStyle w:val="ListParagraph"/>
        <w:numPr>
          <w:ilvl w:val="0"/>
          <w:numId w:val="2"/>
        </w:numPr>
        <w:spacing w:lineRule="auto" w:line="252" w:before="0" w:after="50"/>
        <w:rPr>
          <w:color w:val="262626"/>
          <w:sz w:val="20"/>
          <w:szCs w:val="20"/>
        </w:rPr>
      </w:pPr>
      <w:r>
        <w:rPr>
          <w:color w:val="262626"/>
          <w:sz w:val="20"/>
          <w:szCs w:val="20"/>
        </w:rPr>
        <w:t xml:space="preserve">I provide independent technical and commercial challenge before major investments are committed, identifying solutions that cannot deliver sufficient value, resilience or enterprise scale. </w:t>
      </w:r>
    </w:p>
    <w:p>
      <w:pPr>
        <w:pStyle w:val="ListParagraph"/>
        <w:numPr>
          <w:ilvl w:val="0"/>
          <w:numId w:val="2"/>
        </w:numPr>
        <w:spacing w:lineRule="auto" w:line="252" w:before="0" w:after="50"/>
        <w:rPr>
          <w:color w:val="262626"/>
          <w:sz w:val="20"/>
          <w:szCs w:val="20"/>
        </w:rPr>
      </w:pPr>
      <w:r>
        <w:rPr>
          <w:color w:val="262626"/>
          <w:sz w:val="20"/>
          <w:szCs w:val="20"/>
        </w:rPr>
        <w:t xml:space="preserve">I provide combination of deep hands-on experience </w:t>
      </w:r>
      <w:r>
        <w:rPr>
          <w:color w:val="262626"/>
          <w:sz w:val="20"/>
          <w:szCs w:val="20"/>
        </w:rPr>
        <w:t>with enterprise-scale data platforms and IT/OT +</w:t>
      </w:r>
      <w:r>
        <w:rPr>
          <w:color w:val="262626"/>
          <w:sz w:val="20"/>
          <w:szCs w:val="20"/>
        </w:rPr>
        <w:t xml:space="preserve"> team building/mentoring capability</w:t>
      </w:r>
    </w:p>
    <w:p>
      <w:pPr>
        <w:pStyle w:val="ListParagraph"/>
        <w:numPr>
          <w:ilvl w:val="0"/>
          <w:numId w:val="2"/>
        </w:numPr>
        <w:spacing w:lineRule="auto" w:line="252" w:before="0" w:after="50"/>
        <w:rPr/>
      </w:pPr>
      <w:r>
        <w:rPr>
          <w:color w:val="262626"/>
          <w:sz w:val="20"/>
          <w:szCs w:val="20"/>
        </w:rPr>
        <w:t>I provide a 360</w:t>
      </w:r>
      <w:r>
        <w:rPr/>
        <w:t xml:space="preserve">° assessment of existing or future data platform/data initiative, reduce costs where possible, </w:t>
      </w:r>
      <w:r>
        <w:rPr>
          <w:color w:val="262626"/>
          <w:sz w:val="20"/>
          <w:szCs w:val="20"/>
        </w:rPr>
        <w:t>recover stalled or failing data, AI and digital-transformation initiatives and take them to production.</w:t>
      </w:r>
    </w:p>
    <w:p>
      <w:pPr>
        <w:pStyle w:val="Normal"/>
        <w:pBdr>
          <w:bottom w:val="single" w:sz="6" w:space="2" w:color="BFC9D6"/>
        </w:pBdr>
        <w:spacing w:before="200" w:after="80"/>
        <w:rPr/>
      </w:pPr>
      <w:r>
        <w:rPr>
          <w:b/>
          <w:bCs/>
          <w:caps/>
          <w:color w:val="1F3864"/>
          <w:sz w:val="21"/>
          <w:szCs w:val="21"/>
        </w:rPr>
        <w:t>Professional Experience</w:t>
      </w:r>
    </w:p>
    <w:p>
      <w:pPr>
        <w:pStyle w:val="Normal"/>
        <w:tabs>
          <w:tab w:val="clear" w:pos="720"/>
          <w:tab w:val="right" w:pos="10206" w:leader="none"/>
        </w:tabs>
        <w:spacing w:before="140" w:after="30"/>
        <w:rPr/>
      </w:pPr>
      <w:r>
        <w:rPr>
          <w:b/>
          <w:bCs/>
          <w:color w:val="262626"/>
          <w:sz w:val="21"/>
          <w:szCs w:val="21"/>
        </w:rPr>
        <w:t>NORSK HYDRO - Contract Data Platform &amp; Engineering Leader</w:t>
      </w:r>
      <w:r>
        <w:rPr>
          <w:color w:val="595959"/>
          <w:sz w:val="19"/>
          <w:szCs w:val="19"/>
        </w:rPr>
        <w:tab/>
        <w:t>Sep 2021 – Present</w:t>
      </w:r>
    </w:p>
    <w:p>
      <w:pPr>
        <w:pStyle w:val="Normal"/>
        <w:spacing w:lineRule="auto" w:line="252" w:before="0" w:after="50"/>
        <w:jc w:val="start"/>
        <w:rPr/>
      </w:pPr>
      <w:r>
        <w:rPr>
          <w:i/>
          <w:iCs/>
          <w:color w:val="595959"/>
          <w:sz w:val="18"/>
          <w:szCs w:val="18"/>
        </w:rPr>
        <w:t>Formal progression: Senior Cloud Data Architect (2021–2022) → Lead Data Architect (2022–2024) → Data Engineering Lead (2024–present) · reported at division-director level</w:t>
      </w:r>
    </w:p>
    <w:p>
      <w:pPr>
        <w:pStyle w:val="Normal"/>
        <w:spacing w:lineRule="auto" w:line="252" w:before="0" w:after="60"/>
        <w:jc w:val="start"/>
        <w:rPr/>
      </w:pPr>
      <w:r>
        <w:rPr>
          <w:b/>
          <w:bCs/>
          <w:color w:val="262626"/>
          <w:sz w:val="20"/>
          <w:szCs w:val="20"/>
        </w:rPr>
        <w:t xml:space="preserve">Mandate: </w:t>
      </w:r>
      <w:r>
        <w:rPr>
          <w:color w:val="262626"/>
          <w:sz w:val="20"/>
          <w:szCs w:val="20"/>
        </w:rPr>
        <w:t>build and scale an enterprise-ready data ecosystem across fragmented business areas, recover high-value AI/ML initiatives, establish common platform standards, and grow the engineering capability to sustain the transformation.</w:t>
      </w:r>
    </w:p>
    <w:p>
      <w:pPr>
        <w:pStyle w:val="Normal"/>
        <w:pBdr>
          <w:left w:val="single" w:sz="12" w:space="4" w:color="1F3864"/>
        </w:pBdr>
        <w:shd w:val="clear" w:fill="EEF2F7"/>
        <w:spacing w:lineRule="auto" w:line="252" w:before="0" w:after="90"/>
        <w:rPr/>
      </w:pPr>
      <w:r>
        <w:rPr>
          <w:b/>
          <w:bCs/>
          <w:smallCaps/>
          <w:color w:val="1F3864"/>
          <w:sz w:val="18"/>
          <w:szCs w:val="18"/>
        </w:rPr>
        <w:t xml:space="preserve">Scope at peak:  </w:t>
      </w:r>
      <w:r>
        <w:rPr>
          <w:color w:val="333333"/>
          <w:sz w:val="18"/>
          <w:szCs w:val="18"/>
        </w:rPr>
        <w:t>30+ person distributed capability · 270+ integrated source systems · 30+ governed data products · Snowflake, Databricks, Azure &amp; Fabric · enterprise IT + industrial OT/IIoT</w:t>
      </w:r>
    </w:p>
    <w:p>
      <w:pPr>
        <w:pStyle w:val="ListParagraph"/>
        <w:numPr>
          <w:ilvl w:val="0"/>
          <w:numId w:val="2"/>
        </w:numPr>
        <w:spacing w:lineRule="auto" w:line="252" w:before="0" w:after="50"/>
        <w:rPr/>
      </w:pPr>
      <w:r>
        <w:rPr>
          <w:color w:val="262626"/>
          <w:sz w:val="20"/>
          <w:szCs w:val="20"/>
        </w:rPr>
        <w:t>Held functional and technical ownership of the enterprise data-platform ecosystem - platform strategy, target-state architecture, operations and the common operating model: reusable standards for ingestion, governance, quality, security, interoperability and data-product delivery.</w:t>
      </w:r>
    </w:p>
    <w:p>
      <w:pPr>
        <w:pStyle w:val="ListParagraph"/>
        <w:numPr>
          <w:ilvl w:val="0"/>
          <w:numId w:val="2"/>
        </w:numPr>
        <w:spacing w:lineRule="auto" w:line="252" w:before="0" w:after="50"/>
        <w:rPr/>
      </w:pPr>
      <w:r>
        <w:rPr>
          <w:color w:val="262626"/>
          <w:sz w:val="20"/>
          <w:szCs w:val="20"/>
        </w:rPr>
        <w:t>Designed and established a metadata-driven data platform integrating enterprise and operational systems through batch, CDC and real-time streaming, with governed self-service for business consumers.</w:t>
      </w:r>
    </w:p>
    <w:p>
      <w:pPr>
        <w:pStyle w:val="ListParagraph"/>
        <w:numPr>
          <w:ilvl w:val="0"/>
          <w:numId w:val="2"/>
        </w:numPr>
        <w:spacing w:lineRule="auto" w:line="252" w:before="0" w:after="50"/>
        <w:rPr/>
      </w:pPr>
      <w:r>
        <w:rPr>
          <w:color w:val="262626"/>
          <w:sz w:val="20"/>
          <w:szCs w:val="20"/>
        </w:rPr>
        <w:t>Led the distributed capability of architects, engineers and developers - direct, technical and matrix leadership - and standardized hiring, onboarding, mentoring and delivery practices.</w:t>
      </w:r>
    </w:p>
    <w:p>
      <w:pPr>
        <w:pStyle w:val="ListParagraph"/>
        <w:numPr>
          <w:ilvl w:val="0"/>
          <w:numId w:val="2"/>
        </w:numPr>
        <w:spacing w:lineRule="auto" w:line="252" w:before="0" w:after="50"/>
        <w:rPr/>
      </w:pPr>
      <w:r>
        <w:rPr>
          <w:color w:val="262626"/>
          <w:sz w:val="20"/>
          <w:szCs w:val="20"/>
        </w:rPr>
        <w:t>Partnered with VP- and director-level leaders to identify high-value opportunities, assess technical and commercial viability, prioritize investment and co-create data strategy, vision and platform roadmaps.</w:t>
      </w:r>
    </w:p>
    <w:p>
      <w:pPr>
        <w:pStyle w:val="ListParagraph"/>
        <w:numPr>
          <w:ilvl w:val="0"/>
          <w:numId w:val="2"/>
        </w:numPr>
        <w:spacing w:lineRule="auto" w:line="252" w:before="0" w:after="50"/>
        <w:rPr/>
      </w:pPr>
      <w:r>
        <w:rPr>
          <w:color w:val="262626"/>
          <w:sz w:val="20"/>
          <w:szCs w:val="20"/>
        </w:rPr>
        <w:t>Acted as trusted translator and decision partner between executives, business functions, enterprise architecture, security, OT and engineering teams - providing rare cross-business-area visibility in a federated organization.</w:t>
      </w:r>
    </w:p>
    <w:p>
      <w:pPr>
        <w:pStyle w:val="ListParagraph"/>
        <w:numPr>
          <w:ilvl w:val="0"/>
          <w:numId w:val="2"/>
        </w:numPr>
        <w:spacing w:lineRule="auto" w:line="252" w:before="0" w:after="50"/>
        <w:rPr/>
      </w:pPr>
      <w:r>
        <w:rPr>
          <w:color w:val="262626"/>
          <w:sz w:val="20"/>
          <w:szCs w:val="20"/>
        </w:rPr>
        <w:t>Founded and led the Data Engineering Academy - repeatable upskilling, mentoring and knowledge-transfer paths that grew a new generation of internal engineers.</w:t>
      </w:r>
    </w:p>
    <w:p>
      <w:pPr>
        <w:pStyle w:val="Normal"/>
        <w:tabs>
          <w:tab w:val="clear" w:pos="720"/>
          <w:tab w:val="right" w:pos="10206" w:leader="none"/>
        </w:tabs>
        <w:spacing w:before="140" w:after="30"/>
        <w:rPr/>
      </w:pPr>
      <w:r>
        <w:rPr>
          <w:b/>
          <w:bCs/>
          <w:color w:val="262626"/>
          <w:sz w:val="21"/>
          <w:szCs w:val="21"/>
        </w:rPr>
        <w:t>LYSE AS (via Tieto) - Lead BI &amp; Data Platform Architect</w:t>
      </w:r>
      <w:r>
        <w:rPr>
          <w:color w:val="595959"/>
          <w:sz w:val="19"/>
          <w:szCs w:val="19"/>
        </w:rPr>
        <w:tab/>
        <w:t>Dec 2019 – Aug 2021</w:t>
      </w:r>
    </w:p>
    <w:p>
      <w:pPr>
        <w:pStyle w:val="ListParagraph"/>
        <w:numPr>
          <w:ilvl w:val="0"/>
          <w:numId w:val="2"/>
        </w:numPr>
        <w:spacing w:lineRule="auto" w:line="252" w:before="0" w:after="50"/>
        <w:rPr/>
      </w:pPr>
      <w:r>
        <w:rPr>
          <w:color w:val="262626"/>
          <w:sz w:val="20"/>
          <w:szCs w:val="20"/>
        </w:rPr>
        <w:t>Led modernization and migration of 12 legacy solutions into a newly refactored governed cloud data platform - the organization's trusted single source of truth.</w:t>
      </w:r>
    </w:p>
    <w:p>
      <w:pPr>
        <w:pStyle w:val="ListParagraph"/>
        <w:numPr>
          <w:ilvl w:val="0"/>
          <w:numId w:val="2"/>
        </w:numPr>
        <w:spacing w:lineRule="auto" w:line="252" w:before="0" w:after="50"/>
        <w:rPr/>
      </w:pPr>
      <w:r>
        <w:rPr>
          <w:color w:val="262626"/>
          <w:sz w:val="20"/>
          <w:szCs w:val="20"/>
        </w:rPr>
        <w:t>Integrated 70+ source systems; architected and oversaw delivery of 20+ data products across previously fragmented solution areas.</w:t>
      </w:r>
    </w:p>
    <w:p>
      <w:pPr>
        <w:pStyle w:val="ListParagraph"/>
        <w:numPr>
          <w:ilvl w:val="0"/>
          <w:numId w:val="2"/>
        </w:numPr>
        <w:spacing w:lineRule="auto" w:line="252" w:before="0" w:after="50"/>
        <w:rPr/>
      </w:pPr>
      <w:r>
        <w:rPr>
          <w:color w:val="262626"/>
          <w:sz w:val="20"/>
          <w:szCs w:val="20"/>
        </w:rPr>
        <w:t>Led and mentored a cross-functional team of 16 data, BI and operations professionals; worked with business and technology stakeholders to prioritize migration, manage delivery risk and drive adoption.</w:t>
      </w:r>
    </w:p>
    <w:p>
      <w:pPr>
        <w:pStyle w:val="Normal"/>
        <w:tabs>
          <w:tab w:val="clear" w:pos="720"/>
          <w:tab w:val="right" w:pos="10206" w:leader="none"/>
        </w:tabs>
        <w:spacing w:before="140" w:after="30"/>
        <w:rPr/>
      </w:pPr>
      <w:r>
        <w:rPr>
          <w:b/>
          <w:bCs/>
          <w:color w:val="262626"/>
          <w:sz w:val="21"/>
          <w:szCs w:val="21"/>
        </w:rPr>
        <w:t>INDEPENDENT CONSULTING - BI, Data Engineering &amp; Architecture Consultant</w:t>
      </w:r>
      <w:r>
        <w:rPr>
          <w:color w:val="595959"/>
          <w:sz w:val="19"/>
          <w:szCs w:val="19"/>
        </w:rPr>
        <w:tab/>
        <w:t>Jul 2011 – Nov 2019</w:t>
      </w:r>
    </w:p>
    <w:p>
      <w:pPr>
        <w:pStyle w:val="Normal"/>
        <w:spacing w:lineRule="auto" w:line="252" w:before="0" w:after="80"/>
        <w:jc w:val="start"/>
        <w:rPr/>
      </w:pPr>
      <w:r>
        <w:rPr>
          <w:color w:val="262626"/>
          <w:sz w:val="20"/>
          <w:szCs w:val="20"/>
        </w:rPr>
        <w:t>End-to-end data, reporting and platform engagements across architecture, engineering, infrastructure and legacy modernization - progressing from hands-on SQL, BI and data-engineering delivery into technical leadership, cloud modernization and team mentoring, while retaining direct responsibility for critical architecture and development.</w:t>
      </w:r>
    </w:p>
    <w:p>
      <w:pPr>
        <w:pStyle w:val="Normal"/>
        <w:pBdr>
          <w:bottom w:val="single" w:sz="6" w:space="2" w:color="BFC9D6"/>
        </w:pBdr>
        <w:spacing w:before="200" w:after="80"/>
        <w:rPr/>
      </w:pPr>
      <w:r>
        <w:rPr>
          <w:b/>
          <w:bCs/>
          <w:caps/>
          <w:color w:val="1F3864"/>
          <w:sz w:val="21"/>
          <w:szCs w:val="21"/>
        </w:rPr>
        <w:t>Leadership &amp; Transformation Capabilities</w:t>
      </w:r>
    </w:p>
    <w:p>
      <w:pPr>
        <w:pStyle w:val="Normal"/>
        <w:spacing w:lineRule="auto" w:line="252" w:before="0" w:after="50"/>
        <w:jc w:val="start"/>
        <w:rPr/>
      </w:pPr>
      <w:r>
        <w:rPr>
          <w:b/>
          <w:bCs/>
          <w:color w:val="262626"/>
          <w:sz w:val="20"/>
          <w:szCs w:val="20"/>
        </w:rPr>
        <w:t xml:space="preserve">Data strategy &amp; operating models - </w:t>
      </w:r>
      <w:r>
        <w:rPr>
          <w:color w:val="262626"/>
          <w:sz w:val="20"/>
          <w:szCs w:val="20"/>
        </w:rPr>
        <w:t>data vision and strategy, platform roadmaps, target-state architecture, portfolio prioritization, transformation governance, business-case and feasibility assessment.</w:t>
      </w:r>
    </w:p>
    <w:p>
      <w:pPr>
        <w:pStyle w:val="Normal"/>
        <w:spacing w:lineRule="auto" w:line="252" w:before="0" w:after="50"/>
        <w:jc w:val="start"/>
        <w:rPr/>
      </w:pPr>
      <w:r>
        <w:rPr>
          <w:b/>
          <w:bCs/>
          <w:color w:val="262626"/>
          <w:sz w:val="20"/>
          <w:szCs w:val="20"/>
        </w:rPr>
        <w:t xml:space="preserve">Platform &amp; engineering leadership - </w:t>
      </w:r>
      <w:r>
        <w:rPr>
          <w:color w:val="262626"/>
          <w:sz w:val="20"/>
          <w:szCs w:val="20"/>
        </w:rPr>
        <w:t>platform ownership, engineering organization design, architecture governance, delivery recovery, DevOps and operational resilience, hiring and mentoring.</w:t>
      </w:r>
    </w:p>
    <w:p>
      <w:pPr>
        <w:pStyle w:val="Normal"/>
        <w:spacing w:lineRule="auto" w:line="252" w:before="0" w:after="80"/>
        <w:jc w:val="start"/>
        <w:rPr/>
      </w:pPr>
      <w:r>
        <w:rPr>
          <w:b/>
          <w:bCs/>
          <w:color w:val="262626"/>
          <w:sz w:val="20"/>
          <w:szCs w:val="20"/>
        </w:rPr>
        <w:t xml:space="preserve">Executive &amp; cross-functional leadership - </w:t>
      </w:r>
      <w:r>
        <w:rPr>
          <w:color w:val="262626"/>
          <w:sz w:val="20"/>
          <w:szCs w:val="20"/>
        </w:rPr>
        <w:t>executive communication, business–IT translation, cross-business coordination, investment challenge, stakeholder alignment, leadership transition and capability transfer.</w:t>
      </w:r>
    </w:p>
    <w:p>
      <w:pPr>
        <w:pStyle w:val="Normal"/>
        <w:pBdr>
          <w:bottom w:val="single" w:sz="6" w:space="2" w:color="BFC9D6"/>
        </w:pBdr>
        <w:spacing w:before="200" w:after="80"/>
        <w:rPr/>
      </w:pPr>
      <w:r>
        <w:rPr>
          <w:b/>
          <w:bCs/>
          <w:caps/>
          <w:color w:val="1F3864"/>
          <w:sz w:val="21"/>
          <w:szCs w:val="21"/>
        </w:rPr>
        <w:t>Platform &amp; Technical Credibility</w:t>
      </w:r>
    </w:p>
    <w:p>
      <w:pPr>
        <w:pStyle w:val="Normal"/>
        <w:spacing w:lineRule="auto" w:line="252" w:before="0" w:after="40"/>
        <w:jc w:val="start"/>
        <w:rPr/>
      </w:pPr>
      <w:r>
        <w:rPr>
          <w:b/>
          <w:bCs/>
          <w:color w:val="262626"/>
          <w:sz w:val="20"/>
          <w:szCs w:val="20"/>
        </w:rPr>
        <w:t xml:space="preserve">Cloud data platforms: </w:t>
      </w:r>
      <w:r>
        <w:rPr>
          <w:color w:val="262626"/>
          <w:sz w:val="20"/>
          <w:szCs w:val="20"/>
        </w:rPr>
        <w:t>Snowflake, Databricks, Microsoft Fabric, Azure Data Lake &amp; Data Factory, SQL Server, Power BI, data mesh platform design</w:t>
      </w:r>
    </w:p>
    <w:p>
      <w:pPr>
        <w:pStyle w:val="Normal"/>
        <w:spacing w:lineRule="auto" w:line="252" w:before="0" w:after="40"/>
        <w:jc w:val="start"/>
        <w:rPr/>
      </w:pPr>
      <w:r>
        <w:rPr>
          <w:b/>
          <w:bCs/>
          <w:color w:val="262626"/>
          <w:sz w:val="20"/>
          <w:szCs w:val="20"/>
        </w:rPr>
        <w:t xml:space="preserve">Data engineering: </w:t>
      </w:r>
      <w:r>
        <w:rPr>
          <w:color w:val="262626"/>
          <w:sz w:val="20"/>
          <w:szCs w:val="20"/>
        </w:rPr>
        <w:t>metadata-driven ingestion &amp; platform design, ETL/ELT, CDC, Kafka, MQTT, Apache Iceberg, dbt, Python, SQL, real-time streaming, semantic layers, Azure Devops GIT &amp; CI/CD deployment pipelines</w:t>
      </w:r>
    </w:p>
    <w:p>
      <w:pPr>
        <w:pStyle w:val="Normal"/>
        <w:spacing w:lineRule="auto" w:line="252" w:before="0" w:after="40"/>
        <w:jc w:val="start"/>
        <w:rPr/>
      </w:pPr>
      <w:r>
        <w:rPr>
          <w:b/>
          <w:bCs/>
          <w:color w:val="262626"/>
          <w:sz w:val="20"/>
          <w:szCs w:val="20"/>
        </w:rPr>
        <w:t xml:space="preserve">Governance &amp; security: </w:t>
      </w:r>
      <w:r>
        <w:rPr>
          <w:color w:val="262626"/>
          <w:sz w:val="20"/>
          <w:szCs w:val="20"/>
        </w:rPr>
        <w:t>data quality, lineage, metadata management, GDPR and compliance, enterprise-grade security</w:t>
      </w:r>
    </w:p>
    <w:p>
      <w:pPr>
        <w:pStyle w:val="Normal"/>
        <w:spacing w:lineRule="auto" w:line="252" w:before="0" w:after="40"/>
        <w:jc w:val="start"/>
        <w:rPr/>
      </w:pPr>
      <w:r>
        <w:rPr>
          <w:b/>
          <w:bCs/>
          <w:color w:val="262626"/>
          <w:sz w:val="20"/>
          <w:szCs w:val="20"/>
        </w:rPr>
        <w:t xml:space="preserve">Industrial data: </w:t>
      </w:r>
      <w:r>
        <w:rPr>
          <w:color w:val="262626"/>
          <w:sz w:val="20"/>
          <w:szCs w:val="20"/>
        </w:rPr>
        <w:t>IT/OT convergence, IIoT, Purdue model, telemetry at industrial scale</w:t>
      </w:r>
    </w:p>
    <w:p>
      <w:pPr>
        <w:pStyle w:val="Normal"/>
        <w:spacing w:lineRule="auto" w:line="252" w:before="0" w:after="80"/>
        <w:jc w:val="start"/>
        <w:rPr/>
      </w:pPr>
      <w:r>
        <w:rPr>
          <w:b/>
          <w:bCs/>
          <w:color w:val="262626"/>
          <w:sz w:val="20"/>
          <w:szCs w:val="20"/>
        </w:rPr>
        <w:t xml:space="preserve">AI enablement: </w:t>
      </w:r>
      <w:r>
        <w:rPr>
          <w:color w:val="262626"/>
          <w:sz w:val="20"/>
          <w:szCs w:val="20"/>
        </w:rPr>
        <w:t>productionization of ML, computer vision, forecasting and LLM use cases</w:t>
      </w:r>
    </w:p>
    <w:p>
      <w:pPr>
        <w:pStyle w:val="Normal"/>
        <w:pBdr>
          <w:bottom w:val="single" w:sz="6" w:space="2" w:color="BFC9D6"/>
        </w:pBdr>
        <w:spacing w:before="200" w:after="80"/>
        <w:rPr/>
      </w:pPr>
      <w:r>
        <w:rPr>
          <w:b/>
          <w:bCs/>
          <w:caps/>
          <w:color w:val="1F3864"/>
          <w:sz w:val="21"/>
          <w:szCs w:val="21"/>
        </w:rPr>
        <w:t>Industries &amp; Working Model</w:t>
      </w:r>
    </w:p>
    <w:p>
      <w:pPr>
        <w:pStyle w:val="Normal"/>
        <w:spacing w:lineRule="auto" w:line="252" w:before="0" w:after="50"/>
        <w:jc w:val="start"/>
        <w:rPr/>
      </w:pPr>
      <w:r>
        <w:rPr>
          <w:color w:val="262626"/>
          <w:sz w:val="20"/>
          <w:szCs w:val="20"/>
        </w:rPr>
        <w:t>Industrial manufacturing, energy, utilities, metals and process industries · federated multinational organizations. Remote-first European engagements with planned on-site workshops by arrangement</w:t>
      </w:r>
    </w:p>
    <w:p>
      <w:pPr>
        <w:pStyle w:val="Normal"/>
        <w:spacing w:lineRule="auto" w:line="252" w:before="0" w:after="80"/>
        <w:jc w:val="start"/>
        <w:rPr/>
      </w:pPr>
      <w:r>
        <w:rPr>
          <w:b/>
          <w:bCs/>
          <w:color w:val="262626"/>
          <w:sz w:val="20"/>
          <w:szCs w:val="20"/>
        </w:rPr>
        <w:t xml:space="preserve">Languages &amp; eligibility - </w:t>
      </w:r>
      <w:r>
        <w:rPr>
          <w:color w:val="262626"/>
          <w:sz w:val="20"/>
          <w:szCs w:val="20"/>
        </w:rPr>
        <w:t>Slovak and Czech (native), English (full professional proficiency) · EU citizen, eligible to work across the EU/EEA &amp; Norway</w:t>
      </w:r>
    </w:p>
    <w:p>
      <w:pPr>
        <w:pStyle w:val="Normal"/>
        <w:pBdr>
          <w:bottom w:val="single" w:sz="6" w:space="2" w:color="BFC9D6"/>
        </w:pBdr>
        <w:spacing w:before="200" w:after="80"/>
        <w:rPr/>
      </w:pPr>
      <w:r>
        <w:rPr>
          <w:b/>
          <w:bCs/>
          <w:caps/>
          <w:color w:val="1F3864"/>
          <w:sz w:val="21"/>
          <w:szCs w:val="21"/>
        </w:rPr>
        <w:t>Education &amp; Certifications</w:t>
      </w:r>
    </w:p>
    <w:p>
      <w:pPr>
        <w:pStyle w:val="Normal"/>
        <w:spacing w:lineRule="auto" w:line="252" w:before="0" w:after="40"/>
        <w:jc w:val="start"/>
        <w:rPr/>
      </w:pPr>
      <w:r>
        <w:rPr>
          <w:color w:val="262626"/>
          <w:sz w:val="20"/>
          <w:szCs w:val="20"/>
        </w:rPr>
        <w:t>MA, Economics and Society - University of Vienna · BA, Philosophy and Politics - BISLA Bratislava</w:t>
      </w:r>
    </w:p>
    <w:p>
      <w:pPr>
        <w:pStyle w:val="Normal"/>
        <w:spacing w:lineRule="auto" w:line="252" w:before="0" w:after="80"/>
        <w:jc w:val="start"/>
        <w:rPr/>
      </w:pPr>
      <w:r>
        <w:rPr>
          <w:color w:val="262626"/>
          <w:sz w:val="20"/>
          <w:szCs w:val="20"/>
        </w:rPr>
        <w:t>Azure Databricks Platform Architect · Snowflake SnowPro Architect &amp; Core · Microsoft Azure Solutions Architect Expert · Microsoft Fabric Data Engineer</w:t>
      </w:r>
    </w:p>
    <w:p>
      <w:pPr>
        <w:pStyle w:val="Normal"/>
        <w:pBdr>
          <w:bottom w:val="single" w:sz="6" w:space="2" w:color="BFC9D6"/>
        </w:pBdr>
        <w:spacing w:before="200" w:after="80"/>
        <w:rPr/>
      </w:pPr>
      <w:r>
        <w:rPr>
          <w:b/>
          <w:bCs/>
          <w:caps/>
          <w:color w:val="1F3864"/>
          <w:sz w:val="21"/>
          <w:szCs w:val="21"/>
        </w:rPr>
        <w:t>References</w:t>
      </w:r>
    </w:p>
    <w:p>
      <w:pPr>
        <w:pStyle w:val="Normal"/>
        <w:spacing w:lineRule="auto" w:line="252" w:before="0" w:after="80"/>
        <w:jc w:val="start"/>
        <w:rPr/>
      </w:pPr>
      <w:r>
        <w:rPr>
          <w:color w:val="262626"/>
          <w:sz w:val="20"/>
          <w:szCs w:val="20"/>
        </w:rPr>
        <w:t>Executive and customer references from Norsk Hydro business areas &amp; Lyse AS available on request.</w:t>
      </w:r>
    </w:p>
    <w:sectPr>
      <w:type w:val="nextPage"/>
      <w:pgSz w:w="11906" w:h="16838"/>
      <w:pgMar w:left="850" w:right="85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288" w:hanging="144"/>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0"/>
        </w:tabs>
        <w:ind w:start="288" w:hanging="144"/>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262626"/>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Calibri" w:cs="Calibri"/>
      <w:color w:val="262626"/>
      <w:kern w:val="0"/>
      <w:sz w:val="20"/>
      <w:szCs w:val="20"/>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start"/>
    </w:pPr>
    <w:rPr>
      <w:rFonts w:ascii="Calibri" w:hAnsi="Calibri" w:eastAsia="Calibri" w:cs="Calibri"/>
      <w:b/>
      <w:bCs/>
      <w:color w:val="262626"/>
      <w:kern w:val="0"/>
      <w:sz w:val="20"/>
      <w:szCs w:val="20"/>
      <w:lang w:val="en-US" w:eastAsia="zh-CN" w:bidi="hi-IN"/>
    </w:rPr>
  </w:style>
  <w:style w:type="paragraph" w:styleId="ListParagraph">
    <w:name w:val="List Paragraph"/>
    <w:qFormat/>
    <w:pPr>
      <w:widowControl/>
      <w:suppressAutoHyphens w:val="true"/>
      <w:bidi w:val="0"/>
      <w:spacing w:before="0" w:after="0"/>
      <w:jc w:val="start"/>
    </w:pPr>
    <w:rPr>
      <w:rFonts w:ascii="Calibri" w:hAnsi="Calibri" w:eastAsia="Calibri" w:cs="Calibri"/>
      <w:color w:val="262626"/>
      <w:kern w:val="0"/>
      <w:sz w:val="20"/>
      <w:szCs w:val="20"/>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eman.maros@gmail.com" TargetMode="External"/><Relationship Id="rId3" Type="http://schemas.openxmlformats.org/officeDocument/2006/relationships/hyperlink" Target="https://www.linkedin.com/in/maros-zeman/"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TotalTime>
  <Application>LibreOffice/26.2.4.2$Windows_X86_64 LibreOffice_project/0229ac93fcf0d7cbc6376066c6f35021cef002dc</Application>
  <AppVersion>15.0000</AppVersion>
  <Pages>2</Pages>
  <Words>1078</Words>
  <Characters>7347</Characters>
  <CharactersWithSpaces>8357</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2026-07-14T19:15:54Z</dcterms:created>
  <dc:creator>Maros Zeman</dc:creator>
  <dc:description/>
  <dc:language>en-US</dc:language>
  <cp:lastModifiedBy/>
  <dcterms:modified xsi:type="dcterms:W3CDTF">2026-07-17T18:46:19Z</dcterms:modified>
  <cp:revision>6</cp:revision>
  <dc:subject/>
  <dc:title>Maros Zeman — Fractional / Interim Head of Data Platform &amp; Engineering</dc:title>
</cp:coreProperties>
</file>

<file path=docProps/custom.xml><?xml version="1.0" encoding="utf-8"?>
<Properties xmlns="http://schemas.openxmlformats.org/officeDocument/2006/custom-properties" xmlns:vt="http://schemas.openxmlformats.org/officeDocument/2006/docPropsVTypes"/>
</file>