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60"/>
        <w:jc w:val="center"/>
        <w:rPr/>
      </w:pPr>
      <w:r>
        <w:rPr>
          <w:b/>
          <w:bCs/>
          <w:color w:val="1F3864"/>
          <w:sz w:val="50"/>
          <w:szCs w:val="50"/>
        </w:rPr>
        <w:t>MAROS ZEMAN</w:t>
      </w:r>
    </w:p>
    <w:p>
      <w:pPr>
        <w:pStyle w:val="Normal"/>
        <w:spacing w:before="0" w:after="40"/>
        <w:jc w:val="center"/>
        <w:rPr/>
      </w:pPr>
      <w:r>
        <w:rPr>
          <w:b/>
          <w:bCs/>
          <w:color w:val="1F3864"/>
          <w:sz w:val="22"/>
          <w:szCs w:val="22"/>
        </w:rPr>
        <w:t>FRACTIONAL / INTERIM HEAD OF DATA PLATFORM &amp; ENGINEERING</w:t>
      </w:r>
    </w:p>
    <w:p>
      <w:pPr>
        <w:pStyle w:val="Normal"/>
        <w:spacing w:before="0" w:after="50"/>
        <w:jc w:val="center"/>
        <w:rPr/>
      </w:pPr>
      <w:r>
        <w:rPr>
          <w:color w:val="595959"/>
          <w:sz w:val="19"/>
          <w:szCs w:val="19"/>
        </w:rPr>
        <w:t>Enterprise Data Transformation · Industrial IT/OT · AI-to-Production</w:t>
      </w:r>
    </w:p>
    <w:p>
      <w:pPr>
        <w:pStyle w:val="Normal"/>
        <w:spacing w:before="0" w:after="20"/>
        <w:jc w:val="center"/>
        <w:rPr/>
      </w:pPr>
      <w:r>
        <w:rPr>
          <w:color w:val="595959"/>
          <w:sz w:val="18"/>
          <w:szCs w:val="18"/>
        </w:rPr>
        <w:t>Czech Republic · Remote-first European engagements · On-site workshops by arrangement</w:t>
      </w:r>
    </w:p>
    <w:p>
      <w:pPr>
        <w:pStyle w:val="Normal"/>
        <w:spacing w:before="0" w:after="60"/>
        <w:jc w:val="center"/>
        <w:rPr/>
      </w:pPr>
      <w:r>
        <w:rPr>
          <w:color w:val="595959"/>
          <w:sz w:val="18"/>
          <w:szCs w:val="18"/>
        </w:rPr>
        <w:t xml:space="preserve">+420 727 939 636 · </w:t>
      </w:r>
      <w:hyperlink r:id="rId2">
        <w:r>
          <w:rPr>
            <w:rStyle w:val="Hyperlink"/>
            <w:sz w:val="18"/>
            <w:szCs w:val="18"/>
          </w:rPr>
          <w:t>zeman.maros@gmail.com</w:t>
        </w:r>
      </w:hyperlink>
      <w:r>
        <w:rPr>
          <w:color w:val="595959"/>
          <w:sz w:val="18"/>
          <w:szCs w:val="18"/>
        </w:rPr>
        <w:t xml:space="preserve"> · </w:t>
      </w:r>
      <w:hyperlink r:id="rId3">
        <w:r>
          <w:rPr>
            <w:rStyle w:val="Hyperlink"/>
            <w:sz w:val="18"/>
            <w:szCs w:val="18"/>
          </w:rPr>
          <w:t>linkedin.com/in/maros-zeman</w:t>
        </w:r>
      </w:hyperlink>
    </w:p>
    <w:p>
      <w:pPr>
        <w:pStyle w:val="Normal"/>
        <w:pBdr>
          <w:bottom w:val="single" w:sz="6" w:space="2" w:color="BFC9D6"/>
        </w:pBdr>
        <w:spacing w:before="120" w:after="80"/>
        <w:rPr/>
      </w:pPr>
      <w:r>
        <w:rPr>
          <w:b/>
          <w:bCs/>
          <w:caps/>
          <w:color w:val="1F3864"/>
          <w:sz w:val="21"/>
          <w:szCs w:val="21"/>
        </w:rPr>
        <w:t>Executive Profile</w:t>
      </w:r>
    </w:p>
    <w:p>
      <w:pPr>
        <w:pStyle w:val="Normal"/>
        <w:spacing w:lineRule="auto" w:line="252" w:before="0" w:after="80"/>
        <w:jc w:val="start"/>
        <w:rPr/>
      </w:pPr>
      <w:r>
        <w:rPr>
          <w:color w:val="262626"/>
          <w:sz w:val="20"/>
          <w:szCs w:val="20"/>
        </w:rPr>
        <w:t xml:space="preserve">Data platform and engineering leader with 15 years of experience building, recovering and scaling enterprise data ecosystems in industrial, energy and utility environments. </w:t>
      </w:r>
      <w:r>
        <w:rPr/>
        <w:t xml:space="preserve">For the past five years, operated at enterprise </w:t>
      </w:r>
      <w:r>
        <w:rPr>
          <w:b/>
          <w:bCs/>
        </w:rPr>
        <w:t>Head of Data Platform scope</w:t>
      </w:r>
      <w:r>
        <w:rPr/>
        <w:t xml:space="preserve"> at Norsk Hydro </w:t>
      </w:r>
      <w:r>
        <w:rPr>
          <w:color w:val="262626"/>
          <w:sz w:val="20"/>
          <w:szCs w:val="20"/>
        </w:rPr>
        <w:t xml:space="preserve">- owning platform strategy, target-state architecture, engineering standards and governance, building the capability that runs it, and staying hands-on enough to personally unblock critical delivery. Trusted by executives and engineering teams alike to connect strategy with delivery, </w:t>
      </w:r>
      <w:r>
        <w:rPr/>
        <w:t>provide independent challenge on investment viability, scalability and delivery risk</w:t>
      </w:r>
      <w:r>
        <w:rPr>
          <w:color w:val="262626"/>
          <w:sz w:val="20"/>
          <w:szCs w:val="20"/>
        </w:rPr>
        <w:t>, and coordinate transformation across fragmented organizations.</w:t>
      </w:r>
    </w:p>
    <w:p>
      <w:pPr>
        <w:pStyle w:val="Normal"/>
        <w:pBdr>
          <w:bottom w:val="single" w:sz="6" w:space="2" w:color="BFC9D6"/>
        </w:pBdr>
        <w:spacing w:before="200" w:after="80"/>
        <w:rPr/>
      </w:pPr>
      <w:r>
        <w:rPr>
          <w:b/>
          <w:bCs/>
          <w:caps/>
          <w:color w:val="1F3864"/>
          <w:sz w:val="21"/>
          <w:szCs w:val="21"/>
        </w:rPr>
        <w:t>Selected Outcomes</w:t>
      </w:r>
    </w:p>
    <w:p>
      <w:pPr>
        <w:pStyle w:val="ListParagraph"/>
        <w:numPr>
          <w:ilvl w:val="0"/>
          <w:numId w:val="4"/>
        </w:numPr>
        <w:spacing w:lineRule="auto" w:line="252" w:before="0" w:after="50"/>
        <w:rPr/>
      </w:pPr>
      <w:r>
        <w:rPr>
          <w:b/>
          <w:bCs/>
          <w:color w:val="262626"/>
          <w:sz w:val="20"/>
          <w:szCs w:val="20"/>
        </w:rPr>
        <w:t>Tens of millions of euros</w:t>
      </w:r>
      <w:r>
        <w:rPr>
          <w:color w:val="262626"/>
          <w:sz w:val="20"/>
          <w:szCs w:val="20"/>
        </w:rPr>
        <w:t xml:space="preserve"> in business-validated operational savings from industrial IIoT and streamed-telemetry solutions delivered on the platform.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b/>
          <w:bCs/>
          <w:color w:val="262626"/>
          <w:sz w:val="20"/>
          <w:szCs w:val="20"/>
        </w:rPr>
        <w:t>Millions of euros</w:t>
      </w:r>
      <w:r>
        <w:rPr>
          <w:color w:val="262626"/>
          <w:sz w:val="20"/>
          <w:szCs w:val="20"/>
        </w:rPr>
        <w:t xml:space="preserve"> in cost savings and manual-effort reduction from legacy-migration and digital-transformation programmes.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b/>
          <w:bCs/>
          <w:color w:val="262626"/>
          <w:sz w:val="20"/>
          <w:szCs w:val="20"/>
        </w:rPr>
        <w:t>Stalled AI/ML initiatives recovered into governed production</w:t>
      </w:r>
      <w:r>
        <w:rPr>
          <w:color w:val="262626"/>
          <w:sz w:val="20"/>
          <w:szCs w:val="20"/>
        </w:rPr>
        <w:t xml:space="preserve"> - including a computer-vision product saving ~12 FTE of manual effort and a wind-farm generation-forecasting solution securing grid-operator compliance and revenue visibility.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b/>
          <w:bCs/>
          <w:color w:val="262626"/>
          <w:sz w:val="20"/>
          <w:szCs w:val="20"/>
        </w:rPr>
        <w:t>A unified enterprise data ecosystem built from scratch</w:t>
      </w:r>
      <w:r>
        <w:rPr>
          <w:color w:val="262626"/>
          <w:sz w:val="20"/>
          <w:szCs w:val="20"/>
        </w:rPr>
        <w:t xml:space="preserve"> - metadata-driven, adopted across previously siloed business units and areas as the governed backbone for analytics, AI and self-service.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b/>
          <w:bCs/>
          <w:color w:val="262626"/>
          <w:sz w:val="20"/>
          <w:szCs w:val="20"/>
        </w:rPr>
        <w:t>Escalations resolved in hours, not days</w:t>
      </w:r>
      <w:r>
        <w:rPr>
          <w:color w:val="262626"/>
          <w:sz w:val="20"/>
          <w:szCs w:val="20"/>
        </w:rPr>
        <w:t xml:space="preserve"> - acted as the platform's final escalation point across all business units / areas.</w:t>
      </w:r>
    </w:p>
    <w:p>
      <w:pPr>
        <w:pStyle w:val="Normal"/>
        <w:pBdr>
          <w:bottom w:val="single" w:sz="6" w:space="2" w:color="BFC9D6"/>
        </w:pBdr>
        <w:spacing w:before="200" w:after="80"/>
        <w:rPr/>
      </w:pPr>
      <w:r>
        <w:rPr>
          <w:b/>
          <w:bCs/>
          <w:caps/>
          <w:color w:val="1F3864"/>
          <w:sz w:val="21"/>
          <w:szCs w:val="21"/>
        </w:rPr>
        <w:t>Core Value Proposition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I bridge executive commercial goals and complex IT/OT architecture - fluently, in both directions.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 xml:space="preserve">I provide independent technical and commercial challenge before major investments are committed, identifying solutions that cannot deliver sufficient value, resilience or enterprise scale. 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I provide a 360</w:t>
      </w:r>
      <w:r>
        <w:rPr/>
        <w:t xml:space="preserve">° assessment </w:t>
      </w:r>
      <w:r>
        <w:rPr/>
        <w:t xml:space="preserve">of </w:t>
      </w:r>
      <w:r>
        <w:rPr/>
        <w:t>existing or future data platform</w:t>
      </w:r>
      <w:r>
        <w:rPr/>
        <w:t>s</w:t>
      </w:r>
      <w:r>
        <w:rPr/>
        <w:t>/data initiative</w:t>
      </w:r>
      <w:r>
        <w:rPr/>
        <w:t>s</w:t>
      </w:r>
      <w:r>
        <w:rPr/>
        <w:t xml:space="preserve">, </w:t>
      </w:r>
      <w:r>
        <w:rPr/>
        <w:t xml:space="preserve">reduce costs, </w:t>
      </w:r>
      <w:r>
        <w:rPr>
          <w:color w:val="262626"/>
          <w:sz w:val="20"/>
          <w:szCs w:val="20"/>
        </w:rPr>
        <w:t>recover stalled or failing data, AI and digital-transformation initiatives and take them to production.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>
          <w:color w:val="262626"/>
          <w:sz w:val="20"/>
          <w:szCs w:val="20"/>
        </w:rPr>
      </w:pPr>
      <w:r>
        <w:rPr/>
        <w:t>I provide combination of deep hands-on experience with enterprise-scale data platforms and IT/OT + team building/mentoring capability</w:t>
      </w:r>
    </w:p>
    <w:p>
      <w:pPr>
        <w:pStyle w:val="Normal"/>
        <w:spacing w:lineRule="auto" w:line="252" w:before="0" w:after="40"/>
        <w:jc w:val="start"/>
        <w:rPr/>
      </w:pPr>
      <w:r>
        <w:rPr>
          <w:b/>
          <w:bCs/>
          <w:color w:val="1F3864"/>
          <w:sz w:val="20"/>
          <w:szCs w:val="20"/>
        </w:rPr>
        <w:t xml:space="preserve">Typical mandates:  </w:t>
      </w:r>
      <w:r>
        <w:rPr>
          <w:color w:val="262626"/>
          <w:sz w:val="20"/>
          <w:szCs w:val="20"/>
        </w:rPr>
        <w:t>Platform transformation &amp; recovery · Interim data &amp; engineering leadership · Platform strategy &amp; target operating models · AI/ML productionization · Industrial IT/OT integration · Executive technology advisory · Team build &amp; capability transfer</w:t>
      </w:r>
    </w:p>
    <w:p>
      <w:pPr>
        <w:pStyle w:val="Normal"/>
        <w:pBdr>
          <w:bottom w:val="single" w:sz="6" w:space="2" w:color="BFC9D6"/>
        </w:pBdr>
        <w:spacing w:before="200" w:after="80"/>
        <w:rPr/>
      </w:pPr>
      <w:r>
        <w:rPr>
          <w:b/>
          <w:bCs/>
          <w:caps/>
          <w:color w:val="1F3864"/>
          <w:sz w:val="21"/>
          <w:szCs w:val="21"/>
        </w:rPr>
        <w:t>Professional Experience</w:t>
      </w:r>
    </w:p>
    <w:p>
      <w:pPr>
        <w:pStyle w:val="Normal"/>
        <w:tabs>
          <w:tab w:val="clear" w:pos="720"/>
          <w:tab w:val="right" w:pos="10206" w:leader="none"/>
        </w:tabs>
        <w:spacing w:before="140" w:after="30"/>
        <w:rPr/>
      </w:pPr>
      <w:r>
        <w:rPr>
          <w:b/>
          <w:bCs/>
          <w:color w:val="262626"/>
          <w:sz w:val="21"/>
          <w:szCs w:val="21"/>
        </w:rPr>
        <w:t>NORSK HYDRO - Contract Data Platform &amp; Engineering Leader</w:t>
      </w:r>
      <w:r>
        <w:rPr>
          <w:color w:val="595959"/>
          <w:sz w:val="19"/>
          <w:szCs w:val="19"/>
        </w:rPr>
        <w:tab/>
        <w:t>Sep 2021 – Present</w:t>
      </w:r>
    </w:p>
    <w:p>
      <w:pPr>
        <w:pStyle w:val="Normal"/>
        <w:spacing w:lineRule="auto" w:line="252" w:before="0" w:after="50"/>
        <w:jc w:val="start"/>
        <w:rPr/>
      </w:pPr>
      <w:r>
        <w:rPr>
          <w:i/>
          <w:iCs/>
          <w:color w:val="595959"/>
          <w:sz w:val="18"/>
          <w:szCs w:val="18"/>
        </w:rPr>
        <w:t>Formal progression: Senior Cloud Data Architect (2021–2022) → Lead Data Architect (2022–2024) → Data Engineering Lead (2024–present) · reported at division-director level</w:t>
      </w:r>
    </w:p>
    <w:p>
      <w:pPr>
        <w:pStyle w:val="Normal"/>
        <w:spacing w:lineRule="auto" w:line="252" w:before="0" w:after="60"/>
        <w:jc w:val="start"/>
        <w:rPr/>
      </w:pPr>
      <w:r>
        <w:rPr>
          <w:b/>
          <w:bCs/>
          <w:color w:val="262626"/>
          <w:sz w:val="20"/>
          <w:szCs w:val="20"/>
        </w:rPr>
        <w:t xml:space="preserve">Mandate: </w:t>
      </w:r>
      <w:r>
        <w:rPr>
          <w:color w:val="262626"/>
          <w:sz w:val="20"/>
          <w:szCs w:val="20"/>
        </w:rPr>
        <w:t>build and scale an enterprise-ready data ecosystem across fragmented business areas, recover high-value AI/ML initiatives, establish common platform standards, and grow the engineering capability to sustain the transformation.</w:t>
      </w:r>
    </w:p>
    <w:p>
      <w:pPr>
        <w:pStyle w:val="Normal"/>
        <w:pBdr>
          <w:left w:val="single" w:sz="12" w:space="4" w:color="1F3864"/>
        </w:pBdr>
        <w:shd w:val="clear" w:fill="EEF2F7"/>
        <w:spacing w:lineRule="auto" w:line="252" w:before="0" w:after="90"/>
        <w:rPr/>
      </w:pPr>
      <w:r>
        <w:rPr>
          <w:b/>
          <w:bCs/>
          <w:smallCaps/>
          <w:color w:val="1F3864"/>
          <w:sz w:val="18"/>
          <w:szCs w:val="18"/>
        </w:rPr>
        <w:t xml:space="preserve">Scope at peak:  </w:t>
      </w:r>
      <w:r>
        <w:rPr>
          <w:color w:val="333333"/>
          <w:sz w:val="18"/>
          <w:szCs w:val="18"/>
        </w:rPr>
        <w:t>30+ person distributed capability · 270+ integrated source systems · 30+ governed data products · Snowflake, Databricks, Azure &amp; Fabric · enterprise IT + industrial OT/IIoT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Held functional ownership of the enterprise data-platform ecosystem - platform strategy, target-state architecture, operations and the common operating model: reusable standards for ingestion, governance, quality, security, interoperability and data-product delivery.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Designed and established a metadata-driven platform integrating enterprise and operational systems through batch, CDC and real-time streaming, with governed self-service for business consumers.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Led the distributed capability of architects, engineers and developers - technical leadership - and standardized hiring, onboarding, mentoring and delivery practices.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Partnered with VP- and director-level leaders to identify high-value opportunities, assess technical and commercial viability, prioritize investment and co-create data strategy, vision and platform roadmaps.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Acted as trusted translator and decision partner between executives, business functions, enterprise architecture, security, OT and engineering teams - providing rare cross-business-area visibility in a federated organization.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Founded and led the Data Engineering Academy - repeatable upskilling, mentoring and knowledge-transfer paths that grew a new generation of internal engineers.</w:t>
      </w:r>
    </w:p>
    <w:p>
      <w:pPr>
        <w:pStyle w:val="Normal"/>
        <w:tabs>
          <w:tab w:val="clear" w:pos="720"/>
          <w:tab w:val="right" w:pos="10206" w:leader="none"/>
        </w:tabs>
        <w:spacing w:before="140" w:after="30"/>
        <w:rPr/>
      </w:pPr>
      <w:r>
        <w:rPr>
          <w:b/>
          <w:bCs/>
          <w:color w:val="262626"/>
          <w:sz w:val="21"/>
          <w:szCs w:val="21"/>
        </w:rPr>
        <w:t>LYSE AS (via Tieto) - Lead BI &amp; Data Platform Architect</w:t>
      </w:r>
      <w:r>
        <w:rPr>
          <w:color w:val="595959"/>
          <w:sz w:val="19"/>
          <w:szCs w:val="19"/>
        </w:rPr>
        <w:tab/>
        <w:t>Dec 2019 – Aug 2021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Led modernization and migration of 12 legacy solutions into a newly refactored governed cloud data platform - the organization's trusted single source of truth.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Integrated 70+ source systems; architected and oversaw delivery of 20+ data products across previously fragmented solution areas.</w:t>
      </w:r>
    </w:p>
    <w:p>
      <w:pPr>
        <w:pStyle w:val="ListParagraph"/>
        <w:numPr>
          <w:ilvl w:val="0"/>
          <w:numId w:val="2"/>
        </w:numPr>
        <w:spacing w:lineRule="auto" w:line="252" w:before="0" w:after="50"/>
        <w:rPr/>
      </w:pPr>
      <w:r>
        <w:rPr>
          <w:color w:val="262626"/>
          <w:sz w:val="20"/>
          <w:szCs w:val="20"/>
        </w:rPr>
        <w:t>Led and mentored a cross-functional team of 16 data, BI and operations professionals; worked with business and technology stakeholders to prioritize migration, manage delivery risk and drive adoption.</w:t>
      </w:r>
    </w:p>
    <w:p>
      <w:pPr>
        <w:pStyle w:val="Normal"/>
        <w:tabs>
          <w:tab w:val="clear" w:pos="720"/>
          <w:tab w:val="right" w:pos="10206" w:leader="none"/>
        </w:tabs>
        <w:spacing w:before="140" w:after="30"/>
        <w:rPr/>
      </w:pPr>
      <w:r>
        <w:rPr>
          <w:b/>
          <w:bCs/>
          <w:color w:val="262626"/>
          <w:sz w:val="21"/>
          <w:szCs w:val="21"/>
        </w:rPr>
        <w:t>INDEPENDENT CONSULTING - BI, Data Engineering &amp; Architecture Consultant</w:t>
      </w:r>
      <w:r>
        <w:rPr>
          <w:color w:val="595959"/>
          <w:sz w:val="19"/>
          <w:szCs w:val="19"/>
        </w:rPr>
        <w:tab/>
        <w:t>Jul 2011 – Nov 2019</w:t>
      </w:r>
    </w:p>
    <w:p>
      <w:pPr>
        <w:pStyle w:val="Normal"/>
        <w:spacing w:lineRule="auto" w:line="252" w:before="0" w:after="80"/>
        <w:jc w:val="start"/>
        <w:rPr/>
      </w:pPr>
      <w:r>
        <w:rPr>
          <w:color w:val="262626"/>
          <w:sz w:val="20"/>
          <w:szCs w:val="20"/>
        </w:rPr>
        <w:t>End-to-end data, reporting and platform engagements across architecture, engineering, infrastructure and legacy modernization - progressing from hands-on SQL, BI and data-engineering delivery into technical leadership, cloud modernization and team mentoring, while retaining direct responsibility for critical architecture and development.</w:t>
      </w:r>
    </w:p>
    <w:p>
      <w:pPr>
        <w:pStyle w:val="Normal"/>
        <w:pBdr>
          <w:bottom w:val="single" w:sz="6" w:space="2" w:color="BFC9D6"/>
        </w:pBdr>
        <w:spacing w:before="200" w:after="80"/>
        <w:rPr/>
      </w:pPr>
      <w:r>
        <w:rPr>
          <w:b/>
          <w:bCs/>
          <w:caps/>
          <w:color w:val="1F3864"/>
          <w:sz w:val="21"/>
          <w:szCs w:val="21"/>
        </w:rPr>
        <w:t>Engagement Models</w:t>
      </w:r>
    </w:p>
    <w:p>
      <w:pPr>
        <w:pStyle w:val="Normal"/>
        <w:spacing w:lineRule="auto" w:line="252" w:before="0" w:after="80"/>
        <w:jc w:val="start"/>
        <w:rPr/>
      </w:pPr>
      <w:r>
        <w:rPr>
          <w:color w:val="262626"/>
          <w:sz w:val="20"/>
          <w:szCs w:val="20"/>
        </w:rPr>
        <w:t xml:space="preserve">Diagnostic &amp; recovery assessment (3–4 weeks) · 90-day stabilization mandate · Fractional platform leadership (1–3 days per week) · Independent architecture </w:t>
      </w:r>
      <w:r>
        <w:rPr>
          <w:color w:val="262626"/>
          <w:sz w:val="20"/>
          <w:szCs w:val="20"/>
        </w:rPr>
        <w:t>assesment</w:t>
      </w:r>
      <w:r>
        <w:rPr>
          <w:color w:val="262626"/>
          <w:sz w:val="20"/>
          <w:szCs w:val="20"/>
        </w:rPr>
        <w:t>, investment &amp; delivery assurance</w:t>
      </w:r>
    </w:p>
    <w:p>
      <w:pPr>
        <w:pStyle w:val="Normal"/>
        <w:pBdr>
          <w:bottom w:val="single" w:sz="6" w:space="2" w:color="BFC9D6"/>
        </w:pBdr>
        <w:spacing w:before="200" w:after="80"/>
        <w:rPr/>
      </w:pPr>
      <w:r>
        <w:rPr>
          <w:b/>
          <w:bCs/>
          <w:caps/>
          <w:color w:val="1F3864"/>
          <w:sz w:val="21"/>
          <w:szCs w:val="21"/>
        </w:rPr>
        <w:t>Leadership &amp; Transformation Capabilities</w:t>
      </w:r>
    </w:p>
    <w:p>
      <w:pPr>
        <w:pStyle w:val="Normal"/>
        <w:spacing w:lineRule="auto" w:line="252" w:before="0" w:after="50"/>
        <w:jc w:val="start"/>
        <w:rPr/>
      </w:pPr>
      <w:r>
        <w:rPr>
          <w:b/>
          <w:bCs/>
          <w:color w:val="262626"/>
          <w:sz w:val="20"/>
          <w:szCs w:val="20"/>
        </w:rPr>
        <w:t xml:space="preserve">Data strategy &amp; operating models - </w:t>
      </w:r>
      <w:r>
        <w:rPr>
          <w:color w:val="262626"/>
          <w:sz w:val="20"/>
          <w:szCs w:val="20"/>
        </w:rPr>
        <w:t>data vision and strategy, platform roadmaps, target-state architecture, portfolio prioritization, transformation governance, business-case and feasibility assessment.</w:t>
      </w:r>
    </w:p>
    <w:p>
      <w:pPr>
        <w:pStyle w:val="Normal"/>
        <w:spacing w:lineRule="auto" w:line="252" w:before="0" w:after="50"/>
        <w:jc w:val="start"/>
        <w:rPr/>
      </w:pPr>
      <w:r>
        <w:rPr>
          <w:b/>
          <w:bCs/>
          <w:color w:val="262626"/>
          <w:sz w:val="20"/>
          <w:szCs w:val="20"/>
        </w:rPr>
        <w:t xml:space="preserve">Platform &amp; engineering leadership - </w:t>
      </w:r>
      <w:r>
        <w:rPr>
          <w:color w:val="262626"/>
          <w:sz w:val="20"/>
          <w:szCs w:val="20"/>
        </w:rPr>
        <w:t>platform ownership, engineering organization design, architecture governance, delivery recovery, DevOps and operational resilience, hiring and mentoring.</w:t>
      </w:r>
    </w:p>
    <w:p>
      <w:pPr>
        <w:pStyle w:val="Normal"/>
        <w:spacing w:lineRule="auto" w:line="252" w:before="0" w:after="80"/>
        <w:jc w:val="start"/>
        <w:rPr/>
      </w:pPr>
      <w:r>
        <w:rPr>
          <w:b/>
          <w:bCs/>
          <w:color w:val="262626"/>
          <w:sz w:val="20"/>
          <w:szCs w:val="20"/>
        </w:rPr>
        <w:t xml:space="preserve">Executive &amp; cross-functional leadership - </w:t>
      </w:r>
      <w:r>
        <w:rPr>
          <w:color w:val="262626"/>
          <w:sz w:val="20"/>
          <w:szCs w:val="20"/>
        </w:rPr>
        <w:t>executive communication, business–IT translation, cross-business coordination, investment challenge, stakeholder alignment, leadership transition and capability transfer.</w:t>
      </w:r>
    </w:p>
    <w:p>
      <w:pPr>
        <w:pStyle w:val="Normal"/>
        <w:pBdr>
          <w:bottom w:val="single" w:sz="6" w:space="2" w:color="BFC9D6"/>
        </w:pBdr>
        <w:spacing w:before="200" w:after="80"/>
        <w:rPr/>
      </w:pPr>
      <w:r>
        <w:rPr>
          <w:b/>
          <w:bCs/>
          <w:caps/>
          <w:color w:val="1F3864"/>
          <w:sz w:val="21"/>
          <w:szCs w:val="21"/>
        </w:rPr>
        <w:t>Platform &amp; Technical Credibility</w:t>
      </w:r>
    </w:p>
    <w:p>
      <w:pPr>
        <w:pStyle w:val="Normal"/>
        <w:spacing w:lineRule="auto" w:line="252" w:before="0" w:after="40"/>
        <w:jc w:val="start"/>
        <w:rPr/>
      </w:pPr>
      <w:r>
        <w:rPr>
          <w:b/>
          <w:bCs/>
          <w:color w:val="262626"/>
          <w:sz w:val="20"/>
          <w:szCs w:val="20"/>
        </w:rPr>
        <w:t xml:space="preserve">Cloud data platforms: </w:t>
      </w:r>
      <w:r>
        <w:rPr>
          <w:color w:val="262626"/>
          <w:sz w:val="20"/>
          <w:szCs w:val="20"/>
        </w:rPr>
        <w:t>Snowflake, Databricks, Microsoft Fabric, Azure Data Lake &amp; Data Factory, SQL Server, Power BI</w:t>
      </w:r>
    </w:p>
    <w:p>
      <w:pPr>
        <w:pStyle w:val="Normal"/>
        <w:spacing w:lineRule="auto" w:line="252" w:before="0" w:after="40"/>
        <w:jc w:val="start"/>
        <w:rPr/>
      </w:pPr>
      <w:r>
        <w:rPr>
          <w:b/>
          <w:bCs/>
          <w:color w:val="262626"/>
          <w:sz w:val="20"/>
          <w:szCs w:val="20"/>
        </w:rPr>
        <w:t xml:space="preserve">Data engineering: </w:t>
      </w:r>
      <w:r>
        <w:rPr>
          <w:color w:val="262626"/>
          <w:sz w:val="20"/>
          <w:szCs w:val="20"/>
        </w:rPr>
        <w:t>metadata-driven ingestion &amp; platform design, CDC, Kafka, MQTT, Apache Iceberg, dbt, Python, SQL, real-time streaming, semantic layers</w:t>
      </w:r>
    </w:p>
    <w:p>
      <w:pPr>
        <w:pStyle w:val="Normal"/>
        <w:spacing w:lineRule="auto" w:line="252" w:before="0" w:after="40"/>
        <w:jc w:val="start"/>
        <w:rPr/>
      </w:pPr>
      <w:r>
        <w:rPr>
          <w:b/>
          <w:bCs/>
          <w:color w:val="262626"/>
          <w:sz w:val="20"/>
          <w:szCs w:val="20"/>
        </w:rPr>
        <w:t xml:space="preserve">Governance &amp; security: </w:t>
      </w:r>
      <w:r>
        <w:rPr>
          <w:color w:val="262626"/>
          <w:sz w:val="20"/>
          <w:szCs w:val="20"/>
        </w:rPr>
        <w:t>data quality, lineage, metadata management, GDPR and compliance, enterprise-grade security</w:t>
      </w:r>
    </w:p>
    <w:p>
      <w:pPr>
        <w:pStyle w:val="Normal"/>
        <w:spacing w:lineRule="auto" w:line="252" w:before="0" w:after="40"/>
        <w:jc w:val="start"/>
        <w:rPr/>
      </w:pPr>
      <w:r>
        <w:rPr>
          <w:b/>
          <w:bCs/>
          <w:color w:val="262626"/>
          <w:sz w:val="20"/>
          <w:szCs w:val="20"/>
        </w:rPr>
        <w:t xml:space="preserve">Industrial data: </w:t>
      </w:r>
      <w:r>
        <w:rPr>
          <w:color w:val="262626"/>
          <w:sz w:val="20"/>
          <w:szCs w:val="20"/>
        </w:rPr>
        <w:t>IT/OT convergence, IIoT, Purdue model, telemetry at industrial scale</w:t>
      </w:r>
    </w:p>
    <w:p>
      <w:pPr>
        <w:pStyle w:val="Normal"/>
        <w:spacing w:lineRule="auto" w:line="252" w:before="0" w:after="80"/>
        <w:jc w:val="start"/>
        <w:rPr/>
      </w:pPr>
      <w:r>
        <w:rPr>
          <w:b/>
          <w:bCs/>
          <w:color w:val="262626"/>
          <w:sz w:val="20"/>
          <w:szCs w:val="20"/>
        </w:rPr>
        <w:t xml:space="preserve">AI enablement: </w:t>
      </w:r>
      <w:r>
        <w:rPr>
          <w:color w:val="262626"/>
          <w:sz w:val="20"/>
          <w:szCs w:val="20"/>
        </w:rPr>
        <w:t>productionization of ML, computer vision, forecasting and LLM use cases</w:t>
      </w:r>
    </w:p>
    <w:p>
      <w:pPr>
        <w:pStyle w:val="Normal"/>
        <w:pBdr>
          <w:bottom w:val="single" w:sz="6" w:space="2" w:color="BFC9D6"/>
        </w:pBdr>
        <w:spacing w:before="200" w:after="80"/>
        <w:rPr/>
      </w:pPr>
      <w:r>
        <w:rPr>
          <w:b/>
          <w:bCs/>
          <w:caps/>
          <w:color w:val="1F3864"/>
          <w:sz w:val="21"/>
          <w:szCs w:val="21"/>
        </w:rPr>
        <w:t>Industries &amp; Working Model</w:t>
      </w:r>
    </w:p>
    <w:p>
      <w:pPr>
        <w:pStyle w:val="Normal"/>
        <w:spacing w:lineRule="auto" w:line="252" w:before="0" w:after="50"/>
        <w:jc w:val="start"/>
        <w:rPr/>
      </w:pPr>
      <w:r>
        <w:rPr>
          <w:color w:val="262626"/>
          <w:sz w:val="20"/>
          <w:szCs w:val="20"/>
        </w:rPr>
        <w:t>Industrial manufacturing, energy, utilities, metals and process industries · federated multinational organizations. Remote-first European engagements with planned on-site workshops by arrangement · capacity of 1–3 days per week per client, broader interim availability by arrangement.</w:t>
      </w:r>
    </w:p>
    <w:p>
      <w:pPr>
        <w:pStyle w:val="Normal"/>
        <w:spacing w:lineRule="auto" w:line="252" w:before="0" w:after="80"/>
        <w:jc w:val="start"/>
        <w:rPr/>
      </w:pPr>
      <w:r>
        <w:rPr>
          <w:b/>
          <w:bCs/>
          <w:color w:val="262626"/>
          <w:sz w:val="20"/>
          <w:szCs w:val="20"/>
        </w:rPr>
        <w:t xml:space="preserve">Languages &amp; eligibility - </w:t>
      </w:r>
      <w:r>
        <w:rPr>
          <w:color w:val="262626"/>
          <w:sz w:val="20"/>
          <w:szCs w:val="20"/>
        </w:rPr>
        <w:t>Slovak and Czech (native), English (full professional proficiency) · EU citizen, eligible to work across the EU/EEA.</w:t>
      </w:r>
    </w:p>
    <w:p>
      <w:pPr>
        <w:pStyle w:val="Normal"/>
        <w:pBdr>
          <w:bottom w:val="single" w:sz="6" w:space="2" w:color="BFC9D6"/>
        </w:pBdr>
        <w:spacing w:before="200" w:after="80"/>
        <w:rPr/>
      </w:pPr>
      <w:r>
        <w:rPr>
          <w:b/>
          <w:bCs/>
          <w:caps/>
          <w:color w:val="1F3864"/>
          <w:sz w:val="21"/>
          <w:szCs w:val="21"/>
        </w:rPr>
        <w:t>Education &amp; Certifications</w:t>
      </w:r>
    </w:p>
    <w:p>
      <w:pPr>
        <w:pStyle w:val="Normal"/>
        <w:spacing w:lineRule="auto" w:line="252" w:before="0" w:after="40"/>
        <w:jc w:val="start"/>
        <w:rPr/>
      </w:pPr>
      <w:r>
        <w:rPr>
          <w:color w:val="262626"/>
          <w:sz w:val="20"/>
          <w:szCs w:val="20"/>
        </w:rPr>
        <w:t>MA, Economics and Society - University of Vienna · BA, Philosophy and Politics - BISLA Bratislava</w:t>
      </w:r>
    </w:p>
    <w:p>
      <w:pPr>
        <w:pStyle w:val="Normal"/>
        <w:spacing w:lineRule="auto" w:line="252" w:before="0" w:after="80"/>
        <w:jc w:val="start"/>
        <w:rPr/>
      </w:pPr>
      <w:r>
        <w:rPr>
          <w:color w:val="262626"/>
          <w:sz w:val="20"/>
          <w:szCs w:val="20"/>
        </w:rPr>
        <w:t>Azure Databricks Platform Architect · Snowflake SnowPro Architect &amp; Core · Microsoft Azure Solutions Architect Expert · Microsoft Fabric Data Engineer</w:t>
      </w:r>
    </w:p>
    <w:p>
      <w:pPr>
        <w:pStyle w:val="Normal"/>
        <w:pBdr>
          <w:bottom w:val="single" w:sz="6" w:space="2" w:color="BFC9D6"/>
        </w:pBdr>
        <w:spacing w:before="200" w:after="80"/>
        <w:rPr/>
      </w:pPr>
      <w:r>
        <w:rPr>
          <w:b/>
          <w:bCs/>
          <w:caps/>
          <w:color w:val="1F3864"/>
          <w:sz w:val="21"/>
          <w:szCs w:val="21"/>
        </w:rPr>
        <w:t>References</w:t>
      </w:r>
    </w:p>
    <w:p>
      <w:pPr>
        <w:pStyle w:val="Normal"/>
        <w:spacing w:lineRule="auto" w:line="252" w:before="0" w:after="80"/>
        <w:jc w:val="start"/>
        <w:rPr/>
      </w:pPr>
      <w:r>
        <w:rPr>
          <w:color w:val="262626"/>
          <w:sz w:val="20"/>
          <w:szCs w:val="20"/>
        </w:rPr>
        <w:t>Executive and customer references from Norsk Hydro business areas &amp; Lyse AS available on request.</w:t>
      </w:r>
    </w:p>
    <w:sectPr>
      <w:type w:val="nextPage"/>
      <w:pgSz w:w="11906" w:h="16838"/>
      <w:pgMar w:left="850" w:right="85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288" w:hanging="144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288" w:hanging="144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262626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262626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user">
    <w:name w:val="Footnote Characters (user)"/>
    <w:uiPriority w:val="99"/>
    <w:semiHidden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user">
    <w:name w:val="Endnote Characters (user)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b/>
      <w:bCs/>
      <w:color w:val="262626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262626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eman.maros@gmail.com" TargetMode="External"/><Relationship Id="rId3" Type="http://schemas.openxmlformats.org/officeDocument/2006/relationships/hyperlink" Target="https://www.linkedin.com/in/maros-zeman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LibreOffice/26.2.4.2$Windows_X86_64 LibreOffice_project/0229ac93fcf0d7cbc6376066c6f35021cef002dc</Application>
  <AppVersion>15.0000</AppVersion>
  <Pages>2</Pages>
  <Words>1054</Words>
  <Characters>6959</Characters>
  <CharactersWithSpaces>7938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2026-07-14T19:15:54Z</dcterms:created>
  <dc:creator>Maros Zeman</dc:creator>
  <dc:description/>
  <dc:language>en-US</dc:language>
  <cp:lastModifiedBy/>
  <dcterms:modified xsi:type="dcterms:W3CDTF">2026-07-22T21:05:48Z</dcterms:modified>
  <cp:revision>6</cp:revision>
  <dc:subject/>
  <dc:title>Maros Zeman — Fractional / Interim Head of Data Platform &amp; Engineering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